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E6BC1">
      <w:pPr>
        <w:pStyle w:val="4"/>
        <w:spacing w:after="0"/>
        <w:jc w:val="center"/>
        <w:rPr>
          <w:rFonts w:hint="default"/>
          <w:b/>
          <w:bCs/>
          <w:sz w:val="24"/>
          <w:szCs w:val="24"/>
          <w:lang w:val="it-IT"/>
        </w:rPr>
      </w:pPr>
      <w:r>
        <w:rPr>
          <w:rFonts w:hint="default"/>
          <w:b/>
          <w:bCs/>
          <w:sz w:val="24"/>
          <w:szCs w:val="24"/>
          <w:lang w:val="it-IT"/>
        </w:rPr>
        <w:drawing>
          <wp:inline distT="0" distB="0" distL="114300" distR="114300">
            <wp:extent cx="1433195" cy="679450"/>
            <wp:effectExtent l="0" t="0" r="14605" b="6350"/>
            <wp:docPr id="1" name="Picture 1" descr="Immagine 2024-12-13 120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2024-12-13 120850"/>
                    <pic:cNvPicPr>
                      <a:picLocks noChangeAspect="1"/>
                    </pic:cNvPicPr>
                  </pic:nvPicPr>
                  <pic:blipFill>
                    <a:blip r:embed="rId6"/>
                    <a:stretch>
                      <a:fillRect/>
                    </a:stretch>
                  </pic:blipFill>
                  <pic:spPr>
                    <a:xfrm>
                      <a:off x="0" y="0"/>
                      <a:ext cx="1433195" cy="679450"/>
                    </a:xfrm>
                    <a:prstGeom prst="rect">
                      <a:avLst/>
                    </a:prstGeom>
                  </pic:spPr>
                </pic:pic>
              </a:graphicData>
            </a:graphic>
          </wp:inline>
        </w:drawing>
      </w:r>
    </w:p>
    <w:p w14:paraId="50AF09BE">
      <w:pPr>
        <w:pStyle w:val="4"/>
        <w:spacing w:after="0"/>
        <w:jc w:val="both"/>
        <w:rPr>
          <w:b/>
          <w:bCs/>
          <w:sz w:val="28"/>
          <w:szCs w:val="28"/>
          <w:lang w:val="it-IT"/>
        </w:rPr>
      </w:pPr>
      <w:r>
        <w:rPr>
          <w:rFonts w:hint="default"/>
          <w:b/>
          <w:bCs/>
          <w:sz w:val="28"/>
          <w:szCs w:val="28"/>
          <w:lang w:val="it-IT"/>
        </w:rPr>
        <w:t>Presentazione Artra Galleria - Milano</w:t>
      </w:r>
    </w:p>
    <w:p w14:paraId="4BA140C6">
      <w:pPr>
        <w:pStyle w:val="4"/>
        <w:spacing w:after="0"/>
        <w:jc w:val="both"/>
        <w:rPr>
          <w:b/>
          <w:bCs/>
          <w:lang w:val="it-IT"/>
        </w:rPr>
      </w:pPr>
      <w:r>
        <w:rPr>
          <w:sz w:val="22"/>
          <w:szCs w:val="22"/>
          <w:lang w:val="it-IT"/>
        </w:rPr>
        <w:t xml:space="preserve">Fondata nel 1978 da </w:t>
      </w:r>
      <w:r>
        <w:rPr>
          <w:b/>
          <w:bCs/>
          <w:sz w:val="22"/>
          <w:szCs w:val="22"/>
          <w:lang w:val="it-IT"/>
        </w:rPr>
        <w:t>Marce</w:t>
      </w:r>
      <w:bookmarkStart w:id="0" w:name="_GoBack"/>
      <w:bookmarkEnd w:id="0"/>
      <w:r>
        <w:rPr>
          <w:b/>
          <w:bCs/>
          <w:sz w:val="22"/>
          <w:szCs w:val="22"/>
          <w:lang w:val="it-IT"/>
        </w:rPr>
        <w:t>lla Stefanoni</w:t>
      </w:r>
      <w:r>
        <w:rPr>
          <w:rFonts w:hint="default"/>
          <w:b/>
          <w:bCs/>
          <w:sz w:val="22"/>
          <w:szCs w:val="22"/>
          <w:lang w:val="it-IT"/>
        </w:rPr>
        <w:t>,</w:t>
      </w:r>
      <w:r>
        <w:rPr>
          <w:sz w:val="22"/>
          <w:szCs w:val="22"/>
          <w:lang w:val="it-IT"/>
        </w:rPr>
        <w:t xml:space="preserve"> ARTRA si è imposta fin da subito come </w:t>
      </w:r>
      <w:r>
        <w:rPr>
          <w:b/>
          <w:bCs/>
          <w:sz w:val="22"/>
          <w:szCs w:val="22"/>
          <w:lang w:val="it-IT"/>
        </w:rPr>
        <w:t>una delle gallerie di riferimento per comprendere lo stato e le dinamiche del mondo dell’arte contemporanea</w:t>
      </w:r>
      <w:r>
        <w:rPr>
          <w:sz w:val="22"/>
          <w:szCs w:val="22"/>
          <w:lang w:val="it-IT"/>
        </w:rPr>
        <w:t xml:space="preserve">. Nei primi Anni Ottanta ha collaborato con </w:t>
      </w:r>
      <w:r>
        <w:rPr>
          <w:b/>
          <w:bCs/>
          <w:sz w:val="22"/>
          <w:szCs w:val="22"/>
          <w:lang w:val="it-IT"/>
        </w:rPr>
        <w:t>Achille Bonito Oliva</w:t>
      </w:r>
      <w:r>
        <w:rPr>
          <w:sz w:val="22"/>
          <w:szCs w:val="22"/>
          <w:lang w:val="it-IT"/>
        </w:rPr>
        <w:t xml:space="preserve"> producendo</w:t>
      </w:r>
      <w:r>
        <w:rPr>
          <w:b/>
          <w:bCs/>
          <w:sz w:val="22"/>
          <w:szCs w:val="22"/>
          <w:lang w:val="it-IT"/>
        </w:rPr>
        <w:t xml:space="preserve"> “Labirinto”</w:t>
      </w:r>
      <w:r>
        <w:rPr>
          <w:sz w:val="22"/>
          <w:szCs w:val="22"/>
          <w:lang w:val="it-IT"/>
        </w:rPr>
        <w:t xml:space="preserve">, una mostra in cui per la prima volta a Milano si sono visti gli artisti della </w:t>
      </w:r>
      <w:r>
        <w:rPr>
          <w:b/>
          <w:bCs/>
          <w:sz w:val="22"/>
          <w:szCs w:val="22"/>
          <w:lang w:val="it-IT"/>
        </w:rPr>
        <w:t>Transavanguardia</w:t>
      </w:r>
      <w:r>
        <w:rPr>
          <w:sz w:val="22"/>
          <w:szCs w:val="22"/>
          <w:lang w:val="it-IT"/>
        </w:rPr>
        <w:t xml:space="preserve"> a cui erano affiancati artisti internazionali come </w:t>
      </w:r>
      <w:r>
        <w:rPr>
          <w:b/>
          <w:bCs/>
          <w:sz w:val="22"/>
          <w:szCs w:val="22"/>
          <w:lang w:val="it-IT"/>
        </w:rPr>
        <w:t>Robert Morris, Bruce Naumann, Giulio Paolini, Alighiero Boetti, Michelangelo Pistoletto</w:t>
      </w:r>
      <w:r>
        <w:rPr>
          <w:sz w:val="22"/>
          <w:szCs w:val="22"/>
          <w:lang w:val="it-IT"/>
        </w:rPr>
        <w:t xml:space="preserve">. Sono seguite collaborazioni con </w:t>
      </w:r>
      <w:r>
        <w:rPr>
          <w:b/>
          <w:bCs/>
          <w:sz w:val="22"/>
          <w:szCs w:val="22"/>
          <w:lang w:val="it-IT"/>
        </w:rPr>
        <w:t>Filiberto Menna, Italo Mussa, Giorgio Verzotti, Elio Grazioli, Angela Madesani</w:t>
      </w:r>
      <w:r>
        <w:rPr>
          <w:sz w:val="22"/>
          <w:szCs w:val="22"/>
          <w:lang w:val="it-IT"/>
        </w:rPr>
        <w:t xml:space="preserve">. Nel 2004 con con </w:t>
      </w:r>
      <w:r>
        <w:rPr>
          <w:b/>
          <w:bCs/>
          <w:sz w:val="22"/>
          <w:szCs w:val="22"/>
          <w:lang w:val="it-IT"/>
        </w:rPr>
        <w:t>“Revolution Reloaded”</w:t>
      </w:r>
      <w:r>
        <w:rPr>
          <w:sz w:val="22"/>
          <w:szCs w:val="22"/>
          <w:lang w:val="it-IT"/>
        </w:rPr>
        <w:t xml:space="preserve"> di</w:t>
      </w:r>
      <w:r>
        <w:rPr>
          <w:b/>
          <w:bCs/>
          <w:sz w:val="22"/>
          <w:szCs w:val="22"/>
          <w:lang w:val="it-IT"/>
        </w:rPr>
        <w:t xml:space="preserve"> Marco Scotini</w:t>
      </w:r>
      <w:r>
        <w:rPr>
          <w:sz w:val="22"/>
          <w:szCs w:val="22"/>
          <w:lang w:val="it-IT"/>
        </w:rPr>
        <w:t xml:space="preserve"> e </w:t>
      </w:r>
      <w:r>
        <w:rPr>
          <w:b/>
          <w:bCs/>
          <w:sz w:val="22"/>
          <w:szCs w:val="22"/>
          <w:lang w:val="it-IT"/>
        </w:rPr>
        <w:t>Minea Mircan</w:t>
      </w:r>
      <w:r>
        <w:rPr>
          <w:sz w:val="22"/>
          <w:szCs w:val="22"/>
          <w:lang w:val="it-IT"/>
        </w:rPr>
        <w:t xml:space="preserve"> è iniziata un’indagine sugli artisti che operano nell’ex blocco comunista, indagine proseguita nel 2007 con </w:t>
      </w:r>
      <w:r>
        <w:rPr>
          <w:b/>
          <w:bCs/>
          <w:sz w:val="22"/>
          <w:szCs w:val="22"/>
          <w:lang w:val="it-IT"/>
        </w:rPr>
        <w:t>“OTTOBRE, Uscita Desiderio e Memoria”</w:t>
      </w:r>
      <w:r>
        <w:rPr>
          <w:sz w:val="22"/>
          <w:szCs w:val="22"/>
          <w:lang w:val="it-IT"/>
        </w:rPr>
        <w:t xml:space="preserve"> a cura di </w:t>
      </w:r>
      <w:r>
        <w:rPr>
          <w:b/>
          <w:bCs/>
          <w:sz w:val="22"/>
          <w:szCs w:val="22"/>
          <w:lang w:val="it-IT"/>
        </w:rPr>
        <w:t xml:space="preserve">Marco Scotini </w:t>
      </w:r>
      <w:r>
        <w:rPr>
          <w:sz w:val="22"/>
          <w:szCs w:val="22"/>
          <w:lang w:val="it-IT"/>
        </w:rPr>
        <w:t xml:space="preserve">e </w:t>
      </w:r>
      <w:r>
        <w:rPr>
          <w:b/>
          <w:bCs/>
          <w:sz w:val="22"/>
          <w:szCs w:val="22"/>
          <w:lang w:val="it-IT"/>
        </w:rPr>
        <w:t>Andris Brinkmanis</w:t>
      </w:r>
      <w:r>
        <w:rPr>
          <w:sz w:val="22"/>
          <w:szCs w:val="22"/>
          <w:lang w:val="it-IT"/>
        </w:rPr>
        <w:t xml:space="preserve"> fino a </w:t>
      </w:r>
      <w:r>
        <w:rPr>
          <w:b/>
          <w:bCs/>
          <w:sz w:val="22"/>
          <w:szCs w:val="22"/>
          <w:lang w:val="it-IT"/>
        </w:rPr>
        <w:t>“Azioni molto semplici senza uno scopo preciso curata da Viktor Misiano”</w:t>
      </w:r>
      <w:r>
        <w:rPr>
          <w:sz w:val="22"/>
          <w:szCs w:val="22"/>
          <w:lang w:val="it-IT"/>
        </w:rPr>
        <w:t xml:space="preserve"> (2009). Negli anni</w:t>
      </w:r>
      <w:r>
        <w:rPr>
          <w:rFonts w:hint="default"/>
          <w:sz w:val="22"/>
          <w:szCs w:val="22"/>
          <w:lang w:val="it-IT"/>
        </w:rPr>
        <w:t>,</w:t>
      </w:r>
      <w:r>
        <w:rPr>
          <w:sz w:val="22"/>
          <w:szCs w:val="22"/>
          <w:lang w:val="it-IT"/>
        </w:rPr>
        <w:t xml:space="preserve"> ARTRA ha ospitato mostre personali di </w:t>
      </w:r>
      <w:r>
        <w:rPr>
          <w:b/>
          <w:bCs/>
          <w:sz w:val="22"/>
          <w:szCs w:val="22"/>
          <w:lang w:val="it-IT"/>
        </w:rPr>
        <w:t>Daniel Dezeuze, Vincenzo Agnetti</w:t>
      </w:r>
      <w:r>
        <w:rPr>
          <w:sz w:val="22"/>
          <w:szCs w:val="22"/>
          <w:lang w:val="it-IT"/>
        </w:rPr>
        <w:t xml:space="preserve"> (con una pubblicazione diventata importante per essere stata curata interamente dall’artista </w:t>
      </w:r>
      <w:r>
        <w:rPr>
          <w:b/>
          <w:bCs/>
          <w:sz w:val="22"/>
          <w:szCs w:val="22"/>
          <w:lang w:val="it-IT"/>
        </w:rPr>
        <w:t>“Libro, Particolare”</w:t>
      </w:r>
      <w:r>
        <w:rPr>
          <w:sz w:val="22"/>
          <w:szCs w:val="22"/>
          <w:lang w:val="it-IT"/>
        </w:rPr>
        <w:t xml:space="preserve">, 1978), </w:t>
      </w:r>
      <w:r>
        <w:rPr>
          <w:b/>
          <w:bCs/>
          <w:sz w:val="22"/>
          <w:szCs w:val="22"/>
          <w:lang w:val="it-IT"/>
        </w:rPr>
        <w:t>Pino Pinelli, Gianni Asdrubali, Giulio Turcato, Mario Nigro, Claudio Verna, Carlo Maria Mariani</w:t>
      </w:r>
      <w:r>
        <w:rPr>
          <w:sz w:val="22"/>
          <w:szCs w:val="22"/>
          <w:lang w:val="it-IT"/>
        </w:rPr>
        <w:t xml:space="preserve"> (pubblicazione), </w:t>
      </w:r>
      <w:r>
        <w:rPr>
          <w:b/>
          <w:bCs/>
          <w:sz w:val="22"/>
          <w:szCs w:val="22"/>
          <w:lang w:val="it-IT"/>
        </w:rPr>
        <w:t xml:space="preserve">Stefano di Stasio, Alix Lambert, Jean-Luc Vilmouth, Franco Silvestro, Claudio Guarino, Massimo Bartolini </w:t>
      </w:r>
      <w:r>
        <w:rPr>
          <w:b w:val="0"/>
          <w:bCs w:val="0"/>
          <w:sz w:val="22"/>
          <w:szCs w:val="22"/>
          <w:lang w:val="it-IT"/>
        </w:rPr>
        <w:t>e</w:t>
      </w:r>
      <w:r>
        <w:rPr>
          <w:b/>
          <w:bCs/>
          <w:sz w:val="22"/>
          <w:szCs w:val="22"/>
          <w:lang w:val="it-IT"/>
        </w:rPr>
        <w:t xml:space="preserve"> Grazia Toderi</w:t>
      </w:r>
      <w:r>
        <w:rPr>
          <w:sz w:val="22"/>
          <w:szCs w:val="22"/>
          <w:lang w:val="it-IT"/>
        </w:rPr>
        <w:t xml:space="preserve"> (pubblicazione), </w:t>
      </w:r>
      <w:r>
        <w:rPr>
          <w:b/>
          <w:bCs/>
          <w:sz w:val="22"/>
          <w:szCs w:val="22"/>
          <w:lang w:val="it-IT"/>
        </w:rPr>
        <w:t>Vedovamazzei, Cesare Vie</w:t>
      </w:r>
      <w:r>
        <w:rPr>
          <w:sz w:val="22"/>
          <w:szCs w:val="22"/>
          <w:lang w:val="it-IT"/>
        </w:rPr>
        <w:t xml:space="preserve">l (pubblicazione), </w:t>
      </w:r>
      <w:r>
        <w:rPr>
          <w:b/>
          <w:bCs/>
          <w:sz w:val="22"/>
          <w:szCs w:val="22"/>
          <w:lang w:val="it-IT"/>
        </w:rPr>
        <w:t xml:space="preserve">Nina Childress, Meschac Gaba, Marc Bijl, Yuan Shun, Daniel Firman Gianni Motti, Jemima Stehli, John Hilliard, Oliver Ressler, Vittorio Corsini, Iosif Kiraly, Gianluca Capozzi, Alessandro Roma, Armando Lulaj. Alejandro Vidal, Ion Grigorescu, Claudio Olivieri, Angelo Sarleti, Demantas Narkevicius, Pavel Braila, Koka Ramishvili, Kalleinen, Jaan Toomik </w:t>
      </w:r>
      <w:r>
        <w:rPr>
          <w:b w:val="0"/>
          <w:bCs w:val="0"/>
          <w:sz w:val="22"/>
          <w:szCs w:val="22"/>
          <w:lang w:val="it-IT"/>
        </w:rPr>
        <w:t>e</w:t>
      </w:r>
      <w:r>
        <w:rPr>
          <w:b/>
          <w:bCs/>
          <w:sz w:val="22"/>
          <w:szCs w:val="22"/>
          <w:lang w:val="it-IT"/>
        </w:rPr>
        <w:t xml:space="preserve"> Francesco Jodice. </w:t>
      </w:r>
    </w:p>
    <w:p w14:paraId="07FA83CB">
      <w:pPr>
        <w:rPr>
          <w:lang w:val="it-IT"/>
        </w:rPr>
      </w:pPr>
    </w:p>
    <w:sectPr>
      <w:pgSz w:w="11906" w:h="16838"/>
      <w:pgMar w:top="1417"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A21"/>
    <w:rsid w:val="00951E60"/>
    <w:rsid w:val="00E57A21"/>
    <w:rsid w:val="4F08234A"/>
    <w:rsid w:val="682008C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Normal (Web)"/>
    <w:basedOn w:val="1"/>
    <w:semiHidden/>
    <w:unhideWhenUsed/>
    <w:uiPriority w:val="99"/>
    <w:pPr>
      <w:spacing w:before="100" w:beforeAutospacing="1" w:after="119" w:line="240" w:lineRule="auto"/>
    </w:pPr>
    <w:rPr>
      <w:rFonts w:ascii="Times New Roman" w:hAnsi="Times New Roman" w:eastAsia="Times New Roman" w:cs="Times New Roman"/>
      <w:sz w:val="24"/>
      <w:szCs w:val="24"/>
      <w:lang w:eastAsia="fr-F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283</Words>
  <Characters>1557</Characters>
  <Lines>12</Lines>
  <Paragraphs>3</Paragraphs>
  <TotalTime>5</TotalTime>
  <ScaleCrop>false</ScaleCrop>
  <LinksUpToDate>false</LinksUpToDate>
  <CharactersWithSpaces>1837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2024-11-20T14:03:00Z</dcterms:created>
  <dc:creator>Raffaele Quattrone</dc:creator>
  <cp:lastModifiedBy>Veronica Comanducci</cp:lastModifiedBy>
  <dcterms:modified xsi:type="dcterms:W3CDTF">2024-12-13T11:12:41Z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E8266F9949754F60BC36DBA8BCED0883_12</vt:lpwstr>
  </property>
</Properties>
</file>